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9C" w:rsidRDefault="00B90074">
      <w:pPr>
        <w:tabs>
          <w:tab w:val="center" w:pos="4680"/>
          <w:tab w:val="right" w:pos="9360"/>
        </w:tabs>
        <w:rPr>
          <w:b/>
        </w:rPr>
      </w:pPr>
      <w:r>
        <w:rPr>
          <w:b/>
        </w:rPr>
        <w:t>2017-2018 Title I Focus Plan</w:t>
      </w:r>
      <w:r>
        <w:rPr>
          <w:b/>
        </w:rPr>
        <w:tab/>
      </w:r>
      <w:r>
        <w:rPr>
          <w:b/>
        </w:rPr>
        <w:tab/>
        <w:t xml:space="preserve">School Name: </w:t>
      </w:r>
      <w:r>
        <w:rPr>
          <w:b/>
          <w:u w:val="single"/>
        </w:rPr>
        <w:t>Wahl-Coates Elementary School of the Arts</w:t>
      </w:r>
      <w:r>
        <w:rPr>
          <w:b/>
        </w:rPr>
        <w:tab/>
        <w:t>Allocation: 40,000.00</w:t>
      </w:r>
    </w:p>
    <w:p w:rsidR="004E1B9C" w:rsidRDefault="004E1B9C">
      <w:pPr>
        <w:tabs>
          <w:tab w:val="center" w:pos="4680"/>
          <w:tab w:val="right" w:pos="9360"/>
        </w:tabs>
        <w:rPr>
          <w:b/>
        </w:rPr>
      </w:pPr>
    </w:p>
    <w:p w:rsidR="004E1B9C" w:rsidRDefault="00B90074">
      <w:pPr>
        <w:rPr>
          <w:sz w:val="16"/>
          <w:szCs w:val="16"/>
        </w:rPr>
      </w:pPr>
      <w:r>
        <w:rPr>
          <w:sz w:val="16"/>
          <w:szCs w:val="16"/>
        </w:rPr>
        <w:t>Based on the annual review of the school needs assessment data encompassing all domains, describe the focus plans for the new project year that have the greatest likelihood of ensuring that all groups of students specified in section 1111(b</w:t>
      </w:r>
      <w:proofErr w:type="gramStart"/>
      <w:r>
        <w:rPr>
          <w:sz w:val="16"/>
          <w:szCs w:val="16"/>
        </w:rPr>
        <w:t>)(</w:t>
      </w:r>
      <w:proofErr w:type="gramEnd"/>
      <w:r>
        <w:rPr>
          <w:sz w:val="16"/>
          <w:szCs w:val="16"/>
        </w:rPr>
        <w:t xml:space="preserve">2)(C)(v) and enrolled in the school will meet the State's proficient level of achievement on the State’s academic assessments. Describe three to five prioritized program goals that address identified needs.  </w:t>
      </w:r>
    </w:p>
    <w:p w:rsidR="004E1B9C" w:rsidRDefault="00B90074">
      <w:pPr>
        <w:rPr>
          <w:sz w:val="16"/>
          <w:szCs w:val="16"/>
        </w:rPr>
      </w:pPr>
      <w:r>
        <w:rPr>
          <w:sz w:val="16"/>
          <w:szCs w:val="16"/>
        </w:rPr>
        <w:t xml:space="preserve">  </w:t>
      </w:r>
    </w:p>
    <w:tbl>
      <w:tblPr>
        <w:tblStyle w:val="a"/>
        <w:tblW w:w="147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0"/>
        <w:gridCol w:w="2160"/>
        <w:gridCol w:w="2430"/>
        <w:gridCol w:w="2340"/>
        <w:gridCol w:w="2700"/>
        <w:gridCol w:w="2910"/>
      </w:tblGrid>
      <w:tr w:rsidR="004E1B9C">
        <w:trPr>
          <w:trHeight w:val="660"/>
        </w:trPr>
        <w:tc>
          <w:tcPr>
            <w:tcW w:w="2250" w:type="dxa"/>
          </w:tcPr>
          <w:p w:rsidR="004E1B9C" w:rsidRDefault="00B90074">
            <w:pPr>
              <w:jc w:val="center"/>
              <w:rPr>
                <w:b/>
                <w:sz w:val="18"/>
                <w:szCs w:val="18"/>
              </w:rPr>
            </w:pPr>
            <w:r>
              <w:rPr>
                <w:b/>
                <w:sz w:val="18"/>
                <w:szCs w:val="18"/>
              </w:rPr>
              <w:t>Student Achievement Goals.</w:t>
            </w:r>
          </w:p>
        </w:tc>
        <w:tc>
          <w:tcPr>
            <w:tcW w:w="2160" w:type="dxa"/>
          </w:tcPr>
          <w:p w:rsidR="004E1B9C" w:rsidRDefault="00B90074">
            <w:pPr>
              <w:jc w:val="center"/>
              <w:rPr>
                <w:b/>
                <w:sz w:val="18"/>
                <w:szCs w:val="18"/>
              </w:rPr>
            </w:pPr>
            <w:r>
              <w:rPr>
                <w:b/>
                <w:sz w:val="18"/>
                <w:szCs w:val="18"/>
              </w:rPr>
              <w:t>Action Step(s)</w:t>
            </w:r>
          </w:p>
        </w:tc>
        <w:tc>
          <w:tcPr>
            <w:tcW w:w="2430" w:type="dxa"/>
          </w:tcPr>
          <w:p w:rsidR="004E1B9C" w:rsidRDefault="00B90074">
            <w:pPr>
              <w:jc w:val="center"/>
              <w:rPr>
                <w:b/>
                <w:sz w:val="18"/>
                <w:szCs w:val="18"/>
              </w:rPr>
            </w:pPr>
            <w:r>
              <w:rPr>
                <w:b/>
                <w:sz w:val="18"/>
                <w:szCs w:val="18"/>
              </w:rPr>
              <w:t>Assessment(s) and/or Other Measures Used to Determine Outcome</w:t>
            </w:r>
          </w:p>
        </w:tc>
        <w:tc>
          <w:tcPr>
            <w:tcW w:w="2340" w:type="dxa"/>
          </w:tcPr>
          <w:p w:rsidR="004E1B9C" w:rsidRDefault="00B90074">
            <w:pPr>
              <w:jc w:val="center"/>
              <w:rPr>
                <w:b/>
                <w:sz w:val="18"/>
                <w:szCs w:val="18"/>
              </w:rPr>
            </w:pPr>
            <w:r>
              <w:rPr>
                <w:b/>
                <w:sz w:val="18"/>
                <w:szCs w:val="18"/>
              </w:rPr>
              <w:t>Resources</w:t>
            </w:r>
          </w:p>
        </w:tc>
        <w:tc>
          <w:tcPr>
            <w:tcW w:w="2700" w:type="dxa"/>
            <w:shd w:val="clear" w:color="auto" w:fill="auto"/>
          </w:tcPr>
          <w:p w:rsidR="004E1B9C" w:rsidRDefault="00B90074">
            <w:pPr>
              <w:jc w:val="center"/>
              <w:rPr>
                <w:b/>
                <w:sz w:val="18"/>
                <w:szCs w:val="18"/>
              </w:rPr>
            </w:pPr>
            <w:r>
              <w:rPr>
                <w:b/>
                <w:sz w:val="18"/>
                <w:szCs w:val="18"/>
              </w:rPr>
              <w:t>Timeline of Evaluation Including Interim and Final</w:t>
            </w:r>
          </w:p>
        </w:tc>
        <w:tc>
          <w:tcPr>
            <w:tcW w:w="2910" w:type="dxa"/>
            <w:shd w:val="clear" w:color="auto" w:fill="auto"/>
          </w:tcPr>
          <w:p w:rsidR="004E1B9C" w:rsidRDefault="00B90074">
            <w:pPr>
              <w:jc w:val="center"/>
              <w:rPr>
                <w:b/>
                <w:sz w:val="18"/>
                <w:szCs w:val="18"/>
              </w:rPr>
            </w:pPr>
            <w:r>
              <w:rPr>
                <w:b/>
                <w:sz w:val="18"/>
                <w:szCs w:val="18"/>
              </w:rPr>
              <w:t>Parental Involvement Needed to Support the Action Step(s)</w:t>
            </w:r>
          </w:p>
        </w:tc>
      </w:tr>
      <w:tr w:rsidR="004E1B9C">
        <w:trPr>
          <w:trHeight w:val="1420"/>
        </w:trPr>
        <w:tc>
          <w:tcPr>
            <w:tcW w:w="2250" w:type="dxa"/>
          </w:tcPr>
          <w:p w:rsidR="004E1B9C" w:rsidRDefault="00B90074">
            <w:pPr>
              <w:rPr>
                <w:sz w:val="16"/>
                <w:szCs w:val="16"/>
              </w:rPr>
            </w:pPr>
            <w:r>
              <w:rPr>
                <w:sz w:val="16"/>
                <w:szCs w:val="16"/>
              </w:rPr>
              <w:t xml:space="preserve">Increase student achievement in Math and Reading EOG’s for grades 3-5 to 60% proficient. </w:t>
            </w:r>
          </w:p>
        </w:tc>
        <w:tc>
          <w:tcPr>
            <w:tcW w:w="2160" w:type="dxa"/>
          </w:tcPr>
          <w:p w:rsidR="004E1B9C" w:rsidRDefault="00B90074">
            <w:pPr>
              <w:numPr>
                <w:ilvl w:val="0"/>
                <w:numId w:val="4"/>
              </w:numPr>
              <w:contextualSpacing/>
              <w:rPr>
                <w:sz w:val="16"/>
                <w:szCs w:val="16"/>
              </w:rPr>
            </w:pPr>
            <w:r>
              <w:rPr>
                <w:sz w:val="16"/>
                <w:szCs w:val="16"/>
              </w:rPr>
              <w:t>Contract with Sylvan Learning Center to provide strategic and   individualized tutorials for identified at-risk students</w:t>
            </w:r>
          </w:p>
          <w:p w:rsidR="004E1B9C" w:rsidRDefault="00B90074">
            <w:pPr>
              <w:numPr>
                <w:ilvl w:val="0"/>
                <w:numId w:val="4"/>
              </w:numPr>
              <w:contextualSpacing/>
              <w:rPr>
                <w:sz w:val="16"/>
                <w:szCs w:val="16"/>
              </w:rPr>
            </w:pPr>
            <w:r>
              <w:rPr>
                <w:sz w:val="16"/>
                <w:szCs w:val="16"/>
              </w:rPr>
              <w:t xml:space="preserve">Based on walk-through data, observation data, and teacher input through a needs assessment, develop a staff development plan to meet individual and/or collective needs of the staff in Math and Reading for grades 3-5. </w:t>
            </w:r>
          </w:p>
        </w:tc>
        <w:tc>
          <w:tcPr>
            <w:tcW w:w="2430" w:type="dxa"/>
          </w:tcPr>
          <w:p w:rsidR="004E1B9C" w:rsidRDefault="00B90074">
            <w:pPr>
              <w:numPr>
                <w:ilvl w:val="0"/>
                <w:numId w:val="2"/>
              </w:numPr>
              <w:contextualSpacing/>
              <w:rPr>
                <w:sz w:val="16"/>
                <w:szCs w:val="16"/>
              </w:rPr>
            </w:pPr>
            <w:r>
              <w:rPr>
                <w:sz w:val="16"/>
                <w:szCs w:val="16"/>
              </w:rPr>
              <w:t>Sylvan Learning center will pre and post-assess each student enrolled in the ACE-IT tutorials to develop tutorial class and lessons based on like needs in Reading and Math for grades 3-5</w:t>
            </w:r>
          </w:p>
          <w:p w:rsidR="004E1B9C" w:rsidRDefault="00B90074">
            <w:pPr>
              <w:numPr>
                <w:ilvl w:val="0"/>
                <w:numId w:val="2"/>
              </w:numPr>
              <w:contextualSpacing/>
              <w:rPr>
                <w:sz w:val="16"/>
                <w:szCs w:val="16"/>
              </w:rPr>
            </w:pPr>
            <w:r>
              <w:rPr>
                <w:sz w:val="16"/>
                <w:szCs w:val="16"/>
              </w:rPr>
              <w:t>District-level/ NC Check-ins for 3-5 Math and Reading</w:t>
            </w:r>
          </w:p>
          <w:p w:rsidR="004E1B9C" w:rsidRDefault="00B90074">
            <w:pPr>
              <w:numPr>
                <w:ilvl w:val="0"/>
                <w:numId w:val="2"/>
              </w:numPr>
              <w:contextualSpacing/>
              <w:rPr>
                <w:sz w:val="16"/>
                <w:szCs w:val="16"/>
              </w:rPr>
            </w:pPr>
            <w:r>
              <w:rPr>
                <w:sz w:val="16"/>
                <w:szCs w:val="16"/>
              </w:rPr>
              <w:t>End of Grade testing in Reading and Math will be used to determine outcomes, as well as, 3rd Read to Achieve Assessment.</w:t>
            </w:r>
          </w:p>
        </w:tc>
        <w:tc>
          <w:tcPr>
            <w:tcW w:w="2340" w:type="dxa"/>
          </w:tcPr>
          <w:p w:rsidR="004E1B9C" w:rsidRDefault="00B90074">
            <w:pPr>
              <w:numPr>
                <w:ilvl w:val="0"/>
                <w:numId w:val="3"/>
              </w:numPr>
              <w:contextualSpacing/>
              <w:rPr>
                <w:sz w:val="16"/>
                <w:szCs w:val="16"/>
              </w:rPr>
            </w:pPr>
            <w:r>
              <w:rPr>
                <w:sz w:val="16"/>
                <w:szCs w:val="16"/>
              </w:rPr>
              <w:t>25,000.00 of Title 1 Focus money for Sylvan</w:t>
            </w:r>
          </w:p>
          <w:p w:rsidR="004E1B9C" w:rsidRDefault="00B90074">
            <w:pPr>
              <w:numPr>
                <w:ilvl w:val="0"/>
                <w:numId w:val="3"/>
              </w:numPr>
              <w:contextualSpacing/>
              <w:rPr>
                <w:sz w:val="16"/>
                <w:szCs w:val="16"/>
              </w:rPr>
            </w:pPr>
            <w:r>
              <w:rPr>
                <w:sz w:val="16"/>
                <w:szCs w:val="16"/>
              </w:rPr>
              <w:t>10,000 dedicated for staff development</w:t>
            </w:r>
          </w:p>
          <w:p w:rsidR="004E1B9C" w:rsidRDefault="00B90074">
            <w:pPr>
              <w:numPr>
                <w:ilvl w:val="0"/>
                <w:numId w:val="3"/>
              </w:numPr>
              <w:contextualSpacing/>
              <w:rPr>
                <w:sz w:val="16"/>
                <w:szCs w:val="16"/>
              </w:rPr>
            </w:pPr>
            <w:r>
              <w:rPr>
                <w:sz w:val="16"/>
                <w:szCs w:val="16"/>
              </w:rPr>
              <w:t xml:space="preserve">5000.00 for </w:t>
            </w:r>
            <w:proofErr w:type="spellStart"/>
            <w:r>
              <w:rPr>
                <w:sz w:val="16"/>
                <w:szCs w:val="16"/>
              </w:rPr>
              <w:t>Indistar</w:t>
            </w:r>
            <w:proofErr w:type="spellEnd"/>
            <w:r>
              <w:rPr>
                <w:sz w:val="16"/>
                <w:szCs w:val="16"/>
              </w:rPr>
              <w:t xml:space="preserve"> Data Manager</w:t>
            </w:r>
          </w:p>
        </w:tc>
        <w:tc>
          <w:tcPr>
            <w:tcW w:w="2700" w:type="dxa"/>
            <w:shd w:val="clear" w:color="auto" w:fill="auto"/>
          </w:tcPr>
          <w:p w:rsidR="004E1B9C" w:rsidRDefault="00B90074">
            <w:pPr>
              <w:rPr>
                <w:sz w:val="16"/>
                <w:szCs w:val="16"/>
              </w:rPr>
            </w:pPr>
            <w:r>
              <w:rPr>
                <w:sz w:val="16"/>
                <w:szCs w:val="16"/>
              </w:rPr>
              <w:t>February 2018 through May 2018</w:t>
            </w:r>
          </w:p>
        </w:tc>
        <w:tc>
          <w:tcPr>
            <w:tcW w:w="2910" w:type="dxa"/>
            <w:shd w:val="clear" w:color="auto" w:fill="auto"/>
          </w:tcPr>
          <w:p w:rsidR="004E1B9C" w:rsidRDefault="00B90074">
            <w:pPr>
              <w:numPr>
                <w:ilvl w:val="0"/>
                <w:numId w:val="1"/>
              </w:numPr>
              <w:contextualSpacing/>
              <w:rPr>
                <w:sz w:val="16"/>
                <w:szCs w:val="16"/>
              </w:rPr>
            </w:pPr>
            <w:r>
              <w:rPr>
                <w:sz w:val="16"/>
                <w:szCs w:val="16"/>
              </w:rPr>
              <w:t>Letters will be sent home to identified students’ parents explaining the purpose of the tutorial program</w:t>
            </w:r>
          </w:p>
          <w:p w:rsidR="004E1B9C" w:rsidRDefault="00B90074">
            <w:pPr>
              <w:numPr>
                <w:ilvl w:val="0"/>
                <w:numId w:val="1"/>
              </w:numPr>
              <w:contextualSpacing/>
              <w:rPr>
                <w:sz w:val="16"/>
                <w:szCs w:val="16"/>
              </w:rPr>
            </w:pPr>
            <w:r>
              <w:rPr>
                <w:sz w:val="16"/>
                <w:szCs w:val="16"/>
              </w:rPr>
              <w:t xml:space="preserve">Parental Engagement Meeting with Sylvan Tutors explaining the program and how parents can assist in increasing student achievement for their children. </w:t>
            </w:r>
          </w:p>
          <w:p w:rsidR="004E1B9C" w:rsidRDefault="00B90074">
            <w:pPr>
              <w:numPr>
                <w:ilvl w:val="0"/>
                <w:numId w:val="1"/>
              </w:numPr>
              <w:contextualSpacing/>
              <w:rPr>
                <w:sz w:val="16"/>
                <w:szCs w:val="16"/>
              </w:rPr>
            </w:pPr>
            <w:r>
              <w:rPr>
                <w:sz w:val="16"/>
                <w:szCs w:val="16"/>
              </w:rPr>
              <w:t xml:space="preserve">Parents will be given progress updates periodically based on ACE-IT assessments </w:t>
            </w:r>
          </w:p>
          <w:p w:rsidR="004E1B9C" w:rsidRDefault="00B90074">
            <w:pPr>
              <w:numPr>
                <w:ilvl w:val="0"/>
                <w:numId w:val="1"/>
              </w:numPr>
              <w:contextualSpacing/>
              <w:rPr>
                <w:sz w:val="16"/>
                <w:szCs w:val="16"/>
              </w:rPr>
            </w:pPr>
            <w:r>
              <w:rPr>
                <w:sz w:val="16"/>
                <w:szCs w:val="16"/>
              </w:rPr>
              <w:t xml:space="preserve">Parents will complete an end of the year survey evaluating the effectiveness of the ACE-IT Program. </w:t>
            </w:r>
          </w:p>
        </w:tc>
      </w:tr>
    </w:tbl>
    <w:p w:rsidR="004E1B9C" w:rsidRDefault="004E1B9C"/>
    <w:p w:rsidR="004E1B9C" w:rsidRDefault="004E1B9C"/>
    <w:p w:rsidR="004E1B9C" w:rsidRDefault="00B90074">
      <w:pPr>
        <w:jc w:val="center"/>
        <w:rPr>
          <w:b/>
        </w:rPr>
      </w:pPr>
      <w:bookmarkStart w:id="0" w:name="_GoBack"/>
      <w:bookmarkEnd w:id="0"/>
      <w:r>
        <w:rPr>
          <w:b/>
        </w:rPr>
        <w:t>Summary Analysis</w:t>
      </w:r>
    </w:p>
    <w:p w:rsidR="004E1B9C" w:rsidRDefault="004E1B9C">
      <w:pPr>
        <w:jc w:val="center"/>
        <w:rPr>
          <w:b/>
        </w:rPr>
      </w:pPr>
    </w:p>
    <w:p w:rsidR="004E1B9C" w:rsidRDefault="00B90074">
      <w:pPr>
        <w:spacing w:after="200"/>
      </w:pPr>
      <w:r>
        <w:t xml:space="preserve">Review school data and consider a variety of perspectives including overall school/student performance, </w:t>
      </w:r>
      <w:r w:rsidRPr="00382722">
        <w:rPr>
          <w:noProof/>
        </w:rPr>
        <w:t>sub-group</w:t>
      </w:r>
      <w:r>
        <w:t xml:space="preserve"> performance, attendance, teacher satisfaction (TWC), instructional practices and student learning (from walk-throughs/observation).</w:t>
      </w:r>
    </w:p>
    <w:tbl>
      <w:tblPr>
        <w:tblStyle w:val="a0"/>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1003"/>
        <w:gridCol w:w="1100"/>
        <w:gridCol w:w="1088"/>
        <w:gridCol w:w="1109"/>
        <w:gridCol w:w="1088"/>
        <w:gridCol w:w="1088"/>
        <w:gridCol w:w="1004"/>
        <w:gridCol w:w="1088"/>
      </w:tblGrid>
      <w:tr w:rsidR="004E1B9C">
        <w:trPr>
          <w:jc w:val="center"/>
        </w:trPr>
        <w:tc>
          <w:tcPr>
            <w:tcW w:w="1008" w:type="dxa"/>
          </w:tcPr>
          <w:p w:rsidR="004E1B9C" w:rsidRDefault="004E1B9C">
            <w:pPr>
              <w:rPr>
                <w:b/>
              </w:rPr>
            </w:pPr>
          </w:p>
        </w:tc>
        <w:tc>
          <w:tcPr>
            <w:tcW w:w="1003" w:type="dxa"/>
          </w:tcPr>
          <w:p w:rsidR="004E1B9C" w:rsidRDefault="00B90074">
            <w:pPr>
              <w:rPr>
                <w:b/>
              </w:rPr>
            </w:pPr>
            <w:r>
              <w:rPr>
                <w:b/>
              </w:rPr>
              <w:t>ALL</w:t>
            </w:r>
          </w:p>
        </w:tc>
        <w:tc>
          <w:tcPr>
            <w:tcW w:w="1100" w:type="dxa"/>
          </w:tcPr>
          <w:p w:rsidR="004E1B9C" w:rsidRDefault="00B90074">
            <w:pPr>
              <w:rPr>
                <w:b/>
              </w:rPr>
            </w:pPr>
            <w:r>
              <w:rPr>
                <w:b/>
              </w:rPr>
              <w:t>BLACK</w:t>
            </w:r>
          </w:p>
        </w:tc>
        <w:tc>
          <w:tcPr>
            <w:tcW w:w="1088" w:type="dxa"/>
          </w:tcPr>
          <w:p w:rsidR="004E1B9C" w:rsidRDefault="00B90074">
            <w:pPr>
              <w:rPr>
                <w:b/>
              </w:rPr>
            </w:pPr>
            <w:r>
              <w:rPr>
                <w:b/>
              </w:rPr>
              <w:t>HISP</w:t>
            </w:r>
          </w:p>
        </w:tc>
        <w:tc>
          <w:tcPr>
            <w:tcW w:w="1109" w:type="dxa"/>
          </w:tcPr>
          <w:p w:rsidR="004E1B9C" w:rsidRDefault="00B90074">
            <w:pPr>
              <w:rPr>
                <w:b/>
              </w:rPr>
            </w:pPr>
            <w:r>
              <w:rPr>
                <w:b/>
              </w:rPr>
              <w:t>WHITE</w:t>
            </w:r>
          </w:p>
        </w:tc>
        <w:tc>
          <w:tcPr>
            <w:tcW w:w="1088" w:type="dxa"/>
          </w:tcPr>
          <w:p w:rsidR="004E1B9C" w:rsidRDefault="00B90074">
            <w:pPr>
              <w:rPr>
                <w:b/>
              </w:rPr>
            </w:pPr>
            <w:r>
              <w:rPr>
                <w:b/>
              </w:rPr>
              <w:t>EDS</w:t>
            </w:r>
          </w:p>
        </w:tc>
        <w:tc>
          <w:tcPr>
            <w:tcW w:w="1088" w:type="dxa"/>
          </w:tcPr>
          <w:p w:rsidR="004E1B9C" w:rsidRDefault="00B90074">
            <w:pPr>
              <w:rPr>
                <w:b/>
              </w:rPr>
            </w:pPr>
            <w:r>
              <w:rPr>
                <w:b/>
              </w:rPr>
              <w:t>SWD</w:t>
            </w:r>
          </w:p>
        </w:tc>
        <w:tc>
          <w:tcPr>
            <w:tcW w:w="1004" w:type="dxa"/>
          </w:tcPr>
          <w:p w:rsidR="004E1B9C" w:rsidRDefault="00B90074">
            <w:pPr>
              <w:rPr>
                <w:b/>
              </w:rPr>
            </w:pPr>
            <w:r>
              <w:rPr>
                <w:b/>
              </w:rPr>
              <w:t>AG</w:t>
            </w:r>
          </w:p>
        </w:tc>
        <w:tc>
          <w:tcPr>
            <w:tcW w:w="1088" w:type="dxa"/>
          </w:tcPr>
          <w:p w:rsidR="004E1B9C" w:rsidRDefault="00B90074">
            <w:pPr>
              <w:rPr>
                <w:b/>
              </w:rPr>
            </w:pPr>
            <w:r>
              <w:rPr>
                <w:b/>
              </w:rPr>
              <w:t>LEP</w:t>
            </w:r>
          </w:p>
        </w:tc>
      </w:tr>
      <w:tr w:rsidR="004E1B9C">
        <w:trPr>
          <w:jc w:val="center"/>
        </w:trPr>
        <w:tc>
          <w:tcPr>
            <w:tcW w:w="1008" w:type="dxa"/>
          </w:tcPr>
          <w:p w:rsidR="004E1B9C" w:rsidRDefault="00B90074">
            <w:pPr>
              <w:rPr>
                <w:b/>
              </w:rPr>
            </w:pPr>
            <w:r>
              <w:rPr>
                <w:b/>
              </w:rPr>
              <w:t>State-R</w:t>
            </w:r>
          </w:p>
        </w:tc>
        <w:tc>
          <w:tcPr>
            <w:tcW w:w="1003" w:type="dxa"/>
          </w:tcPr>
          <w:p w:rsidR="004E1B9C" w:rsidRDefault="00B90074">
            <w:pPr>
              <w:jc w:val="center"/>
              <w:rPr>
                <w:i/>
              </w:rPr>
            </w:pPr>
            <w:r>
              <w:rPr>
                <w:i/>
              </w:rPr>
              <w:t>57.5</w:t>
            </w:r>
          </w:p>
        </w:tc>
        <w:tc>
          <w:tcPr>
            <w:tcW w:w="1100" w:type="dxa"/>
          </w:tcPr>
          <w:p w:rsidR="004E1B9C" w:rsidRDefault="00B90074">
            <w:pPr>
              <w:jc w:val="center"/>
              <w:rPr>
                <w:i/>
              </w:rPr>
            </w:pPr>
            <w:r>
              <w:rPr>
                <w:i/>
              </w:rPr>
              <w:t>39.6</w:t>
            </w:r>
          </w:p>
        </w:tc>
        <w:tc>
          <w:tcPr>
            <w:tcW w:w="1088" w:type="dxa"/>
          </w:tcPr>
          <w:p w:rsidR="004E1B9C" w:rsidRDefault="00B90074">
            <w:pPr>
              <w:jc w:val="center"/>
              <w:rPr>
                <w:i/>
              </w:rPr>
            </w:pPr>
            <w:r>
              <w:rPr>
                <w:i/>
              </w:rPr>
              <w:t>43.9</w:t>
            </w:r>
          </w:p>
        </w:tc>
        <w:tc>
          <w:tcPr>
            <w:tcW w:w="1109" w:type="dxa"/>
          </w:tcPr>
          <w:p w:rsidR="004E1B9C" w:rsidRDefault="00B90074">
            <w:pPr>
              <w:jc w:val="center"/>
              <w:rPr>
                <w:i/>
              </w:rPr>
            </w:pPr>
            <w:r>
              <w:rPr>
                <w:i/>
              </w:rPr>
              <w:t>70.6</w:t>
            </w:r>
          </w:p>
        </w:tc>
        <w:tc>
          <w:tcPr>
            <w:tcW w:w="1088" w:type="dxa"/>
          </w:tcPr>
          <w:p w:rsidR="004E1B9C" w:rsidRDefault="00B90074">
            <w:pPr>
              <w:jc w:val="center"/>
              <w:rPr>
                <w:i/>
              </w:rPr>
            </w:pPr>
            <w:r>
              <w:rPr>
                <w:i/>
              </w:rPr>
              <w:t>42.3</w:t>
            </w:r>
          </w:p>
        </w:tc>
        <w:tc>
          <w:tcPr>
            <w:tcW w:w="1088" w:type="dxa"/>
          </w:tcPr>
          <w:p w:rsidR="004E1B9C" w:rsidRDefault="00B90074">
            <w:pPr>
              <w:jc w:val="center"/>
              <w:rPr>
                <w:i/>
              </w:rPr>
            </w:pPr>
            <w:r>
              <w:rPr>
                <w:i/>
              </w:rPr>
              <w:t>21.1</w:t>
            </w:r>
          </w:p>
        </w:tc>
        <w:tc>
          <w:tcPr>
            <w:tcW w:w="1004" w:type="dxa"/>
          </w:tcPr>
          <w:p w:rsidR="004E1B9C" w:rsidRDefault="00B90074">
            <w:pPr>
              <w:jc w:val="center"/>
              <w:rPr>
                <w:i/>
              </w:rPr>
            </w:pPr>
            <w:r>
              <w:rPr>
                <w:i/>
              </w:rPr>
              <w:t>&gt;95</w:t>
            </w:r>
          </w:p>
        </w:tc>
        <w:tc>
          <w:tcPr>
            <w:tcW w:w="1088" w:type="dxa"/>
          </w:tcPr>
          <w:p w:rsidR="004E1B9C" w:rsidRDefault="00B90074">
            <w:pPr>
              <w:jc w:val="center"/>
              <w:rPr>
                <w:i/>
              </w:rPr>
            </w:pPr>
            <w:r>
              <w:rPr>
                <w:i/>
              </w:rPr>
              <w:t>16.3</w:t>
            </w:r>
          </w:p>
        </w:tc>
      </w:tr>
      <w:tr w:rsidR="004E1B9C">
        <w:trPr>
          <w:jc w:val="center"/>
        </w:trPr>
        <w:tc>
          <w:tcPr>
            <w:tcW w:w="1008" w:type="dxa"/>
          </w:tcPr>
          <w:p w:rsidR="004E1B9C" w:rsidRDefault="00B90074">
            <w:pPr>
              <w:rPr>
                <w:b/>
              </w:rPr>
            </w:pPr>
            <w:r>
              <w:rPr>
                <w:b/>
              </w:rPr>
              <w:t>WC-R</w:t>
            </w:r>
          </w:p>
        </w:tc>
        <w:tc>
          <w:tcPr>
            <w:tcW w:w="1003" w:type="dxa"/>
          </w:tcPr>
          <w:p w:rsidR="004E1B9C" w:rsidRDefault="00B90074">
            <w:pPr>
              <w:jc w:val="center"/>
              <w:rPr>
                <w:b/>
                <w:i/>
              </w:rPr>
            </w:pPr>
            <w:r>
              <w:rPr>
                <w:b/>
                <w:i/>
              </w:rPr>
              <w:t>41.8</w:t>
            </w:r>
          </w:p>
        </w:tc>
        <w:tc>
          <w:tcPr>
            <w:tcW w:w="1100" w:type="dxa"/>
          </w:tcPr>
          <w:p w:rsidR="004E1B9C" w:rsidRDefault="00B90074">
            <w:pPr>
              <w:jc w:val="center"/>
              <w:rPr>
                <w:b/>
                <w:i/>
              </w:rPr>
            </w:pPr>
            <w:r>
              <w:rPr>
                <w:b/>
                <w:i/>
              </w:rPr>
              <w:t>33.6</w:t>
            </w:r>
          </w:p>
        </w:tc>
        <w:tc>
          <w:tcPr>
            <w:tcW w:w="1088" w:type="dxa"/>
          </w:tcPr>
          <w:p w:rsidR="004E1B9C" w:rsidRDefault="00B90074">
            <w:pPr>
              <w:jc w:val="center"/>
              <w:rPr>
                <w:b/>
                <w:i/>
              </w:rPr>
            </w:pPr>
            <w:r>
              <w:rPr>
                <w:b/>
                <w:i/>
              </w:rPr>
              <w:t>45.5</w:t>
            </w:r>
          </w:p>
        </w:tc>
        <w:tc>
          <w:tcPr>
            <w:tcW w:w="1109" w:type="dxa"/>
          </w:tcPr>
          <w:p w:rsidR="004E1B9C" w:rsidRDefault="00B90074">
            <w:pPr>
              <w:rPr>
                <w:b/>
                <w:i/>
              </w:rPr>
            </w:pPr>
            <w:r>
              <w:rPr>
                <w:b/>
                <w:i/>
              </w:rPr>
              <w:t xml:space="preserve">     69.6</w:t>
            </w:r>
          </w:p>
        </w:tc>
        <w:tc>
          <w:tcPr>
            <w:tcW w:w="1088" w:type="dxa"/>
          </w:tcPr>
          <w:p w:rsidR="004E1B9C" w:rsidRDefault="00B90074">
            <w:pPr>
              <w:jc w:val="center"/>
              <w:rPr>
                <w:b/>
                <w:i/>
              </w:rPr>
            </w:pPr>
            <w:r>
              <w:rPr>
                <w:b/>
                <w:i/>
              </w:rPr>
              <w:t>35.1</w:t>
            </w:r>
          </w:p>
        </w:tc>
        <w:tc>
          <w:tcPr>
            <w:tcW w:w="1088" w:type="dxa"/>
          </w:tcPr>
          <w:p w:rsidR="004E1B9C" w:rsidRDefault="00B90074">
            <w:pPr>
              <w:jc w:val="center"/>
              <w:rPr>
                <w:b/>
                <w:i/>
              </w:rPr>
            </w:pPr>
            <w:r>
              <w:rPr>
                <w:b/>
                <w:i/>
              </w:rPr>
              <w:t>24</w:t>
            </w:r>
          </w:p>
        </w:tc>
        <w:tc>
          <w:tcPr>
            <w:tcW w:w="1004" w:type="dxa"/>
          </w:tcPr>
          <w:p w:rsidR="004E1B9C" w:rsidRDefault="00B90074">
            <w:pPr>
              <w:jc w:val="center"/>
              <w:rPr>
                <w:b/>
                <w:i/>
              </w:rPr>
            </w:pPr>
            <w:r>
              <w:rPr>
                <w:b/>
                <w:i/>
              </w:rPr>
              <w:t>&lt;10</w:t>
            </w:r>
          </w:p>
        </w:tc>
        <w:tc>
          <w:tcPr>
            <w:tcW w:w="1088" w:type="dxa"/>
          </w:tcPr>
          <w:p w:rsidR="004E1B9C" w:rsidRDefault="00B90074">
            <w:pPr>
              <w:jc w:val="center"/>
              <w:rPr>
                <w:b/>
                <w:i/>
              </w:rPr>
            </w:pPr>
            <w:r>
              <w:rPr>
                <w:b/>
                <w:i/>
              </w:rPr>
              <w:t>&lt;10</w:t>
            </w:r>
          </w:p>
        </w:tc>
      </w:tr>
      <w:tr w:rsidR="004E1B9C">
        <w:trPr>
          <w:jc w:val="center"/>
        </w:trPr>
        <w:tc>
          <w:tcPr>
            <w:tcW w:w="1008" w:type="dxa"/>
          </w:tcPr>
          <w:p w:rsidR="004E1B9C" w:rsidRDefault="00B90074">
            <w:pPr>
              <w:rPr>
                <w:b/>
              </w:rPr>
            </w:pPr>
            <w:r>
              <w:rPr>
                <w:b/>
              </w:rPr>
              <w:t>State-M</w:t>
            </w:r>
          </w:p>
        </w:tc>
        <w:tc>
          <w:tcPr>
            <w:tcW w:w="1003" w:type="dxa"/>
          </w:tcPr>
          <w:p w:rsidR="004E1B9C" w:rsidRDefault="00B90074">
            <w:pPr>
              <w:jc w:val="center"/>
              <w:rPr>
                <w:i/>
              </w:rPr>
            </w:pPr>
            <w:r>
              <w:rPr>
                <w:i/>
              </w:rPr>
              <w:t>49.4</w:t>
            </w:r>
          </w:p>
        </w:tc>
        <w:tc>
          <w:tcPr>
            <w:tcW w:w="1100" w:type="dxa"/>
          </w:tcPr>
          <w:p w:rsidR="004E1B9C" w:rsidRDefault="00B90074">
            <w:pPr>
              <w:jc w:val="center"/>
              <w:rPr>
                <w:i/>
              </w:rPr>
            </w:pPr>
            <w:r>
              <w:rPr>
                <w:i/>
              </w:rPr>
              <w:t>32.7</w:t>
            </w:r>
          </w:p>
        </w:tc>
        <w:tc>
          <w:tcPr>
            <w:tcW w:w="1088" w:type="dxa"/>
          </w:tcPr>
          <w:p w:rsidR="004E1B9C" w:rsidRDefault="00B90074">
            <w:pPr>
              <w:jc w:val="center"/>
              <w:rPr>
                <w:i/>
              </w:rPr>
            </w:pPr>
            <w:r>
              <w:rPr>
                <w:i/>
              </w:rPr>
              <w:t>39.6</w:t>
            </w:r>
          </w:p>
        </w:tc>
        <w:tc>
          <w:tcPr>
            <w:tcW w:w="1109" w:type="dxa"/>
          </w:tcPr>
          <w:p w:rsidR="004E1B9C" w:rsidRDefault="00B90074">
            <w:pPr>
              <w:jc w:val="center"/>
              <w:rPr>
                <w:i/>
              </w:rPr>
            </w:pPr>
            <w:r>
              <w:rPr>
                <w:i/>
              </w:rPr>
              <w:t>62.8</w:t>
            </w:r>
          </w:p>
        </w:tc>
        <w:tc>
          <w:tcPr>
            <w:tcW w:w="1088" w:type="dxa"/>
          </w:tcPr>
          <w:p w:rsidR="004E1B9C" w:rsidRDefault="00B90074">
            <w:pPr>
              <w:jc w:val="center"/>
              <w:rPr>
                <w:i/>
              </w:rPr>
            </w:pPr>
            <w:r>
              <w:rPr>
                <w:i/>
              </w:rPr>
              <w:t>37.4</w:t>
            </w:r>
          </w:p>
        </w:tc>
        <w:tc>
          <w:tcPr>
            <w:tcW w:w="1088" w:type="dxa"/>
          </w:tcPr>
          <w:p w:rsidR="004E1B9C" w:rsidRDefault="00B90074">
            <w:pPr>
              <w:jc w:val="center"/>
              <w:rPr>
                <w:i/>
              </w:rPr>
            </w:pPr>
            <w:r>
              <w:rPr>
                <w:i/>
              </w:rPr>
              <w:t>13.9</w:t>
            </w:r>
          </w:p>
        </w:tc>
        <w:tc>
          <w:tcPr>
            <w:tcW w:w="1004" w:type="dxa"/>
          </w:tcPr>
          <w:p w:rsidR="004E1B9C" w:rsidRDefault="00B90074">
            <w:pPr>
              <w:jc w:val="center"/>
              <w:rPr>
                <w:i/>
              </w:rPr>
            </w:pPr>
            <w:r>
              <w:rPr>
                <w:i/>
              </w:rPr>
              <w:t>&gt;95</w:t>
            </w:r>
          </w:p>
        </w:tc>
        <w:tc>
          <w:tcPr>
            <w:tcW w:w="1088" w:type="dxa"/>
          </w:tcPr>
          <w:p w:rsidR="004E1B9C" w:rsidRDefault="00B90074">
            <w:pPr>
              <w:jc w:val="center"/>
              <w:rPr>
                <w:i/>
              </w:rPr>
            </w:pPr>
            <w:r>
              <w:rPr>
                <w:i/>
              </w:rPr>
              <w:t>15.1</w:t>
            </w:r>
          </w:p>
        </w:tc>
      </w:tr>
      <w:tr w:rsidR="004E1B9C">
        <w:trPr>
          <w:jc w:val="center"/>
        </w:trPr>
        <w:tc>
          <w:tcPr>
            <w:tcW w:w="1008" w:type="dxa"/>
          </w:tcPr>
          <w:p w:rsidR="004E1B9C" w:rsidRDefault="00B90074">
            <w:pPr>
              <w:rPr>
                <w:b/>
              </w:rPr>
            </w:pPr>
            <w:r>
              <w:rPr>
                <w:b/>
              </w:rPr>
              <w:t>WC-M</w:t>
            </w:r>
          </w:p>
        </w:tc>
        <w:tc>
          <w:tcPr>
            <w:tcW w:w="1003" w:type="dxa"/>
          </w:tcPr>
          <w:p w:rsidR="004E1B9C" w:rsidRDefault="00B90074">
            <w:pPr>
              <w:jc w:val="center"/>
              <w:rPr>
                <w:b/>
                <w:i/>
              </w:rPr>
            </w:pPr>
            <w:r>
              <w:rPr>
                <w:b/>
                <w:i/>
              </w:rPr>
              <w:t>41.1</w:t>
            </w:r>
          </w:p>
        </w:tc>
        <w:tc>
          <w:tcPr>
            <w:tcW w:w="1100" w:type="dxa"/>
          </w:tcPr>
          <w:p w:rsidR="004E1B9C" w:rsidRDefault="00B90074">
            <w:pPr>
              <w:jc w:val="center"/>
              <w:rPr>
                <w:b/>
                <w:i/>
              </w:rPr>
            </w:pPr>
            <w:r>
              <w:rPr>
                <w:b/>
                <w:i/>
              </w:rPr>
              <w:t>32.7</w:t>
            </w:r>
          </w:p>
        </w:tc>
        <w:tc>
          <w:tcPr>
            <w:tcW w:w="1088" w:type="dxa"/>
          </w:tcPr>
          <w:p w:rsidR="004E1B9C" w:rsidRDefault="00B90074">
            <w:pPr>
              <w:jc w:val="center"/>
              <w:rPr>
                <w:b/>
                <w:i/>
              </w:rPr>
            </w:pPr>
            <w:r>
              <w:rPr>
                <w:b/>
                <w:i/>
              </w:rPr>
              <w:t>72.7</w:t>
            </w:r>
          </w:p>
        </w:tc>
        <w:tc>
          <w:tcPr>
            <w:tcW w:w="1109" w:type="dxa"/>
          </w:tcPr>
          <w:p w:rsidR="004E1B9C" w:rsidRDefault="00B90074">
            <w:pPr>
              <w:jc w:val="center"/>
              <w:rPr>
                <w:b/>
                <w:i/>
              </w:rPr>
            </w:pPr>
            <w:r>
              <w:rPr>
                <w:b/>
                <w:i/>
              </w:rPr>
              <w:t>60.9</w:t>
            </w:r>
          </w:p>
        </w:tc>
        <w:tc>
          <w:tcPr>
            <w:tcW w:w="1088" w:type="dxa"/>
          </w:tcPr>
          <w:p w:rsidR="004E1B9C" w:rsidRDefault="00B90074">
            <w:pPr>
              <w:jc w:val="center"/>
              <w:rPr>
                <w:b/>
                <w:i/>
              </w:rPr>
            </w:pPr>
            <w:r>
              <w:rPr>
                <w:b/>
                <w:i/>
              </w:rPr>
              <w:t>33.6</w:t>
            </w:r>
          </w:p>
        </w:tc>
        <w:tc>
          <w:tcPr>
            <w:tcW w:w="1088" w:type="dxa"/>
          </w:tcPr>
          <w:p w:rsidR="004E1B9C" w:rsidRDefault="00B90074">
            <w:pPr>
              <w:jc w:val="center"/>
              <w:rPr>
                <w:b/>
                <w:i/>
              </w:rPr>
            </w:pPr>
            <w:r>
              <w:rPr>
                <w:b/>
                <w:i/>
              </w:rPr>
              <w:t>24</w:t>
            </w:r>
          </w:p>
        </w:tc>
        <w:tc>
          <w:tcPr>
            <w:tcW w:w="1004" w:type="dxa"/>
          </w:tcPr>
          <w:p w:rsidR="004E1B9C" w:rsidRDefault="00B90074">
            <w:pPr>
              <w:jc w:val="center"/>
              <w:rPr>
                <w:b/>
                <w:i/>
              </w:rPr>
            </w:pPr>
            <w:r>
              <w:rPr>
                <w:b/>
                <w:i/>
              </w:rPr>
              <w:t>&lt;10</w:t>
            </w:r>
          </w:p>
        </w:tc>
        <w:tc>
          <w:tcPr>
            <w:tcW w:w="1088" w:type="dxa"/>
          </w:tcPr>
          <w:p w:rsidR="004E1B9C" w:rsidRDefault="00B90074">
            <w:pPr>
              <w:jc w:val="center"/>
              <w:rPr>
                <w:b/>
                <w:i/>
              </w:rPr>
            </w:pPr>
            <w:r>
              <w:rPr>
                <w:b/>
                <w:i/>
              </w:rPr>
              <w:t>&lt;10</w:t>
            </w:r>
          </w:p>
        </w:tc>
      </w:tr>
    </w:tbl>
    <w:p w:rsidR="004E1B9C" w:rsidRDefault="004E1B9C">
      <w:pPr>
        <w:jc w:val="center"/>
        <w:rPr>
          <w:b/>
        </w:rPr>
      </w:pPr>
    </w:p>
    <w:p w:rsidR="004E1B9C" w:rsidRDefault="004E1B9C">
      <w:pPr>
        <w:jc w:val="center"/>
      </w:pPr>
    </w:p>
    <w:p w:rsidR="004E1B9C" w:rsidRDefault="00B90074">
      <w:pPr>
        <w:rPr>
          <w:b/>
        </w:rPr>
      </w:pPr>
      <w:r>
        <w:rPr>
          <w:b/>
        </w:rPr>
        <w:t>2. Explain how this/these action(s) will close the gap between your subgroups.</w:t>
      </w:r>
    </w:p>
    <w:p w:rsidR="004E1B9C" w:rsidRDefault="004E1B9C"/>
    <w:p w:rsidR="004E1B9C" w:rsidRDefault="00B90074">
      <w:r>
        <w:t xml:space="preserve">We have targeted 38 at-risk students in reading and math for grades 3-5 to offer tutorial services to close the achievement gap among subgroups. Additional staff development will be provided to teachers in grades 3-5 to meet individual teacher needs to increase student achievement in Reading and Math to 60% </w:t>
      </w:r>
      <w:r w:rsidRPr="00382722">
        <w:rPr>
          <w:noProof/>
        </w:rPr>
        <w:t>proficiency .</w:t>
      </w:r>
      <w:r>
        <w:t xml:space="preserve"> </w:t>
      </w:r>
    </w:p>
    <w:p w:rsidR="004E1B9C" w:rsidRDefault="00B90074">
      <w:r>
        <w:t xml:space="preserve"> </w:t>
      </w:r>
    </w:p>
    <w:p w:rsidR="004E1B9C" w:rsidRDefault="004E1B9C"/>
    <w:p w:rsidR="004E1B9C" w:rsidRDefault="00B90074">
      <w:pPr>
        <w:rPr>
          <w:b/>
        </w:rPr>
      </w:pPr>
      <w:r>
        <w:rPr>
          <w:b/>
        </w:rPr>
        <w:lastRenderedPageBreak/>
        <w:t>3. Describe how educators and parents equitably participated in the development of the plan.  Include information on parent and community engagement.</w:t>
      </w:r>
    </w:p>
    <w:p w:rsidR="004E1B9C" w:rsidRDefault="004E1B9C"/>
    <w:p w:rsidR="004E1B9C" w:rsidRDefault="00B90074">
      <w:r>
        <w:t xml:space="preserve">Parents will receive </w:t>
      </w:r>
      <w:r w:rsidRPr="00382722">
        <w:rPr>
          <w:noProof/>
        </w:rPr>
        <w:t>information</w:t>
      </w:r>
      <w:r>
        <w:t xml:space="preserve"> sheet explaining the purpose of the program and why their child was selected for the tutorial program in Reading and Math. In addition, Sylvan Learning Center will provide a Parent Engagement Meeting to discuss the program in greater detail, as well as, discuss ways that parents can enrich the program from home. </w:t>
      </w:r>
    </w:p>
    <w:p w:rsidR="004E1B9C" w:rsidRDefault="004E1B9C"/>
    <w:p w:rsidR="004E1B9C" w:rsidRDefault="00B90074">
      <w:pPr>
        <w:rPr>
          <w:b/>
        </w:rPr>
      </w:pPr>
      <w:r>
        <w:rPr>
          <w:b/>
        </w:rPr>
        <w:t>4. Explain the quality technical support and assistance the LEA will provide to the school to address the complexities of the plan.</w:t>
      </w:r>
    </w:p>
    <w:p w:rsidR="004E1B9C" w:rsidRDefault="004E1B9C"/>
    <w:p w:rsidR="004E1B9C" w:rsidRDefault="00B90074">
      <w:r>
        <w:t>The LEA provided an individual school determining AMO worksheet.</w:t>
      </w:r>
    </w:p>
    <w:p w:rsidR="004E1B9C" w:rsidRDefault="00B90074">
      <w:r>
        <w:t>The Title I Director provided an individual conference and follow-up.</w:t>
      </w:r>
    </w:p>
    <w:p w:rsidR="004E1B9C" w:rsidRDefault="00B90074">
      <w:r>
        <w:t>The Title I Director provided additional monies and staff development.</w:t>
      </w:r>
    </w:p>
    <w:p w:rsidR="004E1B9C" w:rsidRDefault="00B90074">
      <w:r>
        <w:t xml:space="preserve">The Instructional Compliance Coordinator provides assistance with analyzing data and support with </w:t>
      </w:r>
      <w:r w:rsidRPr="00382722">
        <w:rPr>
          <w:noProof/>
        </w:rPr>
        <w:t>Read</w:t>
      </w:r>
      <w:r>
        <w:t xml:space="preserve"> 3D.</w:t>
      </w:r>
    </w:p>
    <w:p w:rsidR="004E1B9C" w:rsidRDefault="004E1B9C"/>
    <w:p w:rsidR="004E1B9C" w:rsidRDefault="004E1B9C"/>
    <w:p w:rsidR="004E1B9C" w:rsidRDefault="004E1B9C"/>
    <w:p w:rsidR="004E1B9C" w:rsidRDefault="004E1B9C"/>
    <w:p w:rsidR="004E1B9C" w:rsidRDefault="004E1B9C"/>
    <w:p w:rsidR="004E1B9C" w:rsidRDefault="004E1B9C"/>
    <w:p w:rsidR="004E1B9C" w:rsidRDefault="004E1B9C"/>
    <w:p w:rsidR="004E1B9C" w:rsidRDefault="004E1B9C"/>
    <w:p w:rsidR="004E1B9C" w:rsidRDefault="004E1B9C"/>
    <w:p w:rsidR="004E1B9C" w:rsidRDefault="004E1B9C"/>
    <w:tbl>
      <w:tblPr>
        <w:tblStyle w:val="a1"/>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72"/>
        <w:gridCol w:w="4872"/>
        <w:gridCol w:w="4872"/>
      </w:tblGrid>
      <w:tr w:rsidR="004E1B9C">
        <w:tc>
          <w:tcPr>
            <w:tcW w:w="4872" w:type="dxa"/>
          </w:tcPr>
          <w:p w:rsidR="004E1B9C" w:rsidRDefault="00B90074">
            <w:pPr>
              <w:jc w:val="center"/>
              <w:rPr>
                <w:b/>
              </w:rPr>
            </w:pPr>
            <w:r>
              <w:rPr>
                <w:b/>
              </w:rPr>
              <w:t>Student Achievement</w:t>
            </w:r>
          </w:p>
          <w:p w:rsidR="004E1B9C" w:rsidRDefault="004E1B9C"/>
          <w:p w:rsidR="004E1B9C" w:rsidRDefault="00B90074">
            <w:pPr>
              <w:jc w:val="center"/>
            </w:pPr>
            <w:r>
              <w:t>Growth amongst our</w:t>
            </w:r>
          </w:p>
          <w:p w:rsidR="004E1B9C" w:rsidRDefault="00B90074">
            <w:pPr>
              <w:jc w:val="center"/>
            </w:pPr>
            <w:r>
              <w:t>middle and high achieving students</w:t>
            </w:r>
          </w:p>
          <w:p w:rsidR="004E1B9C" w:rsidRDefault="00B90074">
            <w:pPr>
              <w:jc w:val="center"/>
            </w:pPr>
            <w:proofErr w:type="gramStart"/>
            <w:r>
              <w:t>in</w:t>
            </w:r>
            <w:proofErr w:type="gramEnd"/>
            <w:r>
              <w:t xml:space="preserve"> both ELA and Math. Additionally, we are working on closing the gap </w:t>
            </w:r>
            <w:r w:rsidRPr="00382722">
              <w:rPr>
                <w:noProof/>
              </w:rPr>
              <w:t>among</w:t>
            </w:r>
            <w:r>
              <w:t xml:space="preserve"> EDS and among black students</w:t>
            </w:r>
          </w:p>
          <w:p w:rsidR="004E1B9C" w:rsidRDefault="004E1B9C"/>
        </w:tc>
        <w:tc>
          <w:tcPr>
            <w:tcW w:w="4872" w:type="dxa"/>
          </w:tcPr>
          <w:p w:rsidR="004E1B9C" w:rsidRDefault="00B90074">
            <w:pPr>
              <w:jc w:val="center"/>
              <w:rPr>
                <w:b/>
              </w:rPr>
            </w:pPr>
            <w:r>
              <w:rPr>
                <w:b/>
              </w:rPr>
              <w:t>Instructional Programs</w:t>
            </w:r>
          </w:p>
          <w:p w:rsidR="004E1B9C" w:rsidRDefault="004E1B9C">
            <w:pPr>
              <w:jc w:val="center"/>
            </w:pPr>
          </w:p>
          <w:p w:rsidR="004E1B9C" w:rsidRDefault="00B90074">
            <w:pPr>
              <w:jc w:val="center"/>
            </w:pPr>
            <w:proofErr w:type="spellStart"/>
            <w:r>
              <w:t>mClass</w:t>
            </w:r>
            <w:proofErr w:type="spellEnd"/>
          </w:p>
          <w:p w:rsidR="004E1B9C" w:rsidRDefault="00B90074">
            <w:pPr>
              <w:jc w:val="center"/>
            </w:pPr>
            <w:proofErr w:type="spellStart"/>
            <w:r>
              <w:t>SchoolNet</w:t>
            </w:r>
            <w:proofErr w:type="spellEnd"/>
            <w:r>
              <w:t xml:space="preserve"> Assessment Program</w:t>
            </w:r>
          </w:p>
          <w:p w:rsidR="004E1B9C" w:rsidRDefault="00B90074">
            <w:pPr>
              <w:jc w:val="center"/>
            </w:pPr>
            <w:r>
              <w:t>Sylvan ACE-IT Tutorial Sessions</w:t>
            </w:r>
          </w:p>
          <w:p w:rsidR="004E1B9C" w:rsidRDefault="00B90074">
            <w:pPr>
              <w:jc w:val="center"/>
            </w:pPr>
            <w:r>
              <w:t>Balanced Literacy</w:t>
            </w:r>
          </w:p>
          <w:p w:rsidR="004E1B9C" w:rsidRDefault="00B90074">
            <w:pPr>
              <w:jc w:val="center"/>
            </w:pPr>
            <w:proofErr w:type="spellStart"/>
            <w:r>
              <w:t>Istation</w:t>
            </w:r>
            <w:proofErr w:type="spellEnd"/>
          </w:p>
          <w:p w:rsidR="004E1B9C" w:rsidRDefault="00B90074">
            <w:pPr>
              <w:jc w:val="center"/>
            </w:pPr>
            <w:r>
              <w:t>Accelerated Reader</w:t>
            </w:r>
          </w:p>
          <w:p w:rsidR="004E1B9C" w:rsidRDefault="004E1B9C">
            <w:pPr>
              <w:jc w:val="center"/>
            </w:pPr>
          </w:p>
          <w:p w:rsidR="004E1B9C" w:rsidRDefault="004E1B9C">
            <w:pPr>
              <w:jc w:val="center"/>
            </w:pPr>
          </w:p>
          <w:p w:rsidR="004E1B9C" w:rsidRDefault="004E1B9C">
            <w:pPr>
              <w:jc w:val="center"/>
            </w:pPr>
          </w:p>
        </w:tc>
        <w:tc>
          <w:tcPr>
            <w:tcW w:w="4872" w:type="dxa"/>
          </w:tcPr>
          <w:p w:rsidR="004E1B9C" w:rsidRDefault="00B90074">
            <w:pPr>
              <w:jc w:val="center"/>
              <w:rPr>
                <w:b/>
              </w:rPr>
            </w:pPr>
            <w:r>
              <w:rPr>
                <w:b/>
              </w:rPr>
              <w:t>Professional Development</w:t>
            </w:r>
          </w:p>
          <w:p w:rsidR="004E1B9C" w:rsidRDefault="004E1B9C">
            <w:pPr>
              <w:jc w:val="center"/>
            </w:pPr>
          </w:p>
          <w:p w:rsidR="004E1B9C" w:rsidRDefault="00B90074">
            <w:pPr>
              <w:jc w:val="center"/>
            </w:pPr>
            <w:r>
              <w:t>Balanced Literacy</w:t>
            </w:r>
          </w:p>
          <w:p w:rsidR="004E1B9C" w:rsidRDefault="00B90074">
            <w:pPr>
              <w:jc w:val="center"/>
            </w:pPr>
            <w:r>
              <w:t>Collaborative Conference</w:t>
            </w:r>
          </w:p>
          <w:p w:rsidR="004E1B9C" w:rsidRDefault="00B90074">
            <w:pPr>
              <w:jc w:val="center"/>
            </w:pPr>
            <w:r>
              <w:t>Integrating the Arts Book Study</w:t>
            </w:r>
          </w:p>
          <w:p w:rsidR="004E1B9C" w:rsidRDefault="00B90074">
            <w:pPr>
              <w:jc w:val="center"/>
            </w:pPr>
            <w:r>
              <w:t>Learning Focus Training</w:t>
            </w:r>
          </w:p>
          <w:p w:rsidR="004E1B9C" w:rsidRDefault="00B90074">
            <w:pPr>
              <w:jc w:val="center"/>
            </w:pPr>
            <w:r>
              <w:t>*Targeted professional development based on teachers’ needs as described above</w:t>
            </w:r>
          </w:p>
          <w:p w:rsidR="004E1B9C" w:rsidRDefault="004E1B9C">
            <w:pPr>
              <w:jc w:val="center"/>
              <w:rPr>
                <w:b/>
              </w:rPr>
            </w:pPr>
          </w:p>
        </w:tc>
      </w:tr>
    </w:tbl>
    <w:p w:rsidR="004E1B9C" w:rsidRDefault="004E1B9C"/>
    <w:p w:rsidR="004E1B9C" w:rsidRDefault="004E1B9C"/>
    <w:p w:rsidR="004E1B9C" w:rsidRDefault="004E1B9C"/>
    <w:p w:rsidR="004E1B9C" w:rsidRDefault="004E1B9C"/>
    <w:p w:rsidR="004E1B9C" w:rsidRDefault="004E1B9C"/>
    <w:p w:rsidR="004E1B9C" w:rsidRDefault="00B90074">
      <w:r>
        <w:t>_________________________</w:t>
      </w:r>
      <w:r>
        <w:tab/>
      </w:r>
      <w:r>
        <w:tab/>
      </w:r>
      <w:r>
        <w:tab/>
      </w:r>
      <w:r>
        <w:tab/>
        <w:t>______________________</w:t>
      </w:r>
      <w:r>
        <w:tab/>
      </w:r>
      <w:r>
        <w:tab/>
      </w:r>
      <w:r>
        <w:tab/>
      </w:r>
      <w:r>
        <w:tab/>
        <w:t>__________________________</w:t>
      </w:r>
      <w:r>
        <w:tab/>
      </w:r>
    </w:p>
    <w:p w:rsidR="004E1B9C" w:rsidRDefault="00B90074">
      <w:pPr>
        <w:ind w:firstLine="720"/>
      </w:pPr>
      <w:r>
        <w:t>Principal Signature</w:t>
      </w:r>
      <w:r>
        <w:tab/>
      </w:r>
      <w:r>
        <w:tab/>
      </w:r>
      <w:r>
        <w:tab/>
      </w:r>
      <w:r>
        <w:tab/>
      </w:r>
      <w:r>
        <w:tab/>
        <w:t>Title I Director</w:t>
      </w:r>
      <w:r>
        <w:tab/>
      </w:r>
      <w:r>
        <w:tab/>
      </w:r>
      <w:r>
        <w:tab/>
      </w:r>
      <w:r>
        <w:tab/>
      </w:r>
      <w:r>
        <w:tab/>
      </w:r>
      <w:r>
        <w:tab/>
        <w:t>K-8 Director</w:t>
      </w:r>
      <w:r>
        <w:tab/>
      </w:r>
      <w:r>
        <w:tab/>
      </w:r>
    </w:p>
    <w:p w:rsidR="004E1B9C" w:rsidRDefault="004E1B9C">
      <w:pPr>
        <w:ind w:firstLine="720"/>
      </w:pPr>
    </w:p>
    <w:p w:rsidR="004E1B9C" w:rsidRDefault="004E1B9C">
      <w:pPr>
        <w:ind w:firstLine="720"/>
      </w:pPr>
    </w:p>
    <w:p w:rsidR="004E1B9C" w:rsidRDefault="00B90074">
      <w:r>
        <w:t>_________________________</w:t>
      </w:r>
      <w:r>
        <w:tab/>
      </w:r>
      <w:r>
        <w:tab/>
      </w:r>
      <w:r>
        <w:tab/>
      </w:r>
      <w:r>
        <w:tab/>
        <w:t>______________________</w:t>
      </w:r>
      <w:r>
        <w:tab/>
      </w:r>
      <w:r>
        <w:tab/>
      </w:r>
      <w:r>
        <w:tab/>
      </w:r>
      <w:r>
        <w:tab/>
        <w:t>__________________________</w:t>
      </w:r>
      <w:r>
        <w:tab/>
      </w:r>
    </w:p>
    <w:p w:rsidR="004E1B9C" w:rsidRDefault="00B90074">
      <w:pPr>
        <w:ind w:firstLine="720"/>
      </w:pPr>
      <w:r>
        <w:t xml:space="preserve">      Date</w:t>
      </w:r>
      <w:r>
        <w:tab/>
      </w:r>
      <w:r>
        <w:tab/>
      </w:r>
      <w:r>
        <w:tab/>
      </w:r>
      <w:r>
        <w:tab/>
      </w:r>
      <w:r>
        <w:tab/>
        <w:t xml:space="preserve">                 Date</w:t>
      </w:r>
      <w:r>
        <w:tab/>
      </w:r>
      <w:r>
        <w:tab/>
      </w:r>
      <w:r>
        <w:tab/>
      </w:r>
      <w:r>
        <w:tab/>
      </w:r>
      <w:r>
        <w:tab/>
      </w:r>
      <w:r>
        <w:tab/>
      </w:r>
      <w:r>
        <w:tab/>
        <w:t xml:space="preserve">       Date</w:t>
      </w:r>
      <w:r>
        <w:tab/>
      </w:r>
      <w:r>
        <w:tab/>
      </w:r>
    </w:p>
    <w:sectPr w:rsidR="004E1B9C" w:rsidSect="00167681">
      <w:pgSz w:w="15840" w:h="122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60654"/>
    <w:multiLevelType w:val="multilevel"/>
    <w:tmpl w:val="C40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01077BB"/>
    <w:multiLevelType w:val="multilevel"/>
    <w:tmpl w:val="05F61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E945FB"/>
    <w:multiLevelType w:val="multilevel"/>
    <w:tmpl w:val="C1E40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CE231BB"/>
    <w:multiLevelType w:val="multilevel"/>
    <w:tmpl w:val="3CA25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C1NDczsDC0tDA3MjJW0lEKTi0uzszPAykwrAUAqXst8CwAAAA="/>
  </w:docVars>
  <w:rsids>
    <w:rsidRoot w:val="004E1B9C"/>
    <w:rsid w:val="00167681"/>
    <w:rsid w:val="00382722"/>
    <w:rsid w:val="004E1B9C"/>
    <w:rsid w:val="00B90074"/>
    <w:rsid w:val="00F60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7681"/>
  </w:style>
  <w:style w:type="paragraph" w:styleId="Heading1">
    <w:name w:val="heading 1"/>
    <w:basedOn w:val="Normal"/>
    <w:next w:val="Normal"/>
    <w:rsid w:val="00167681"/>
    <w:pPr>
      <w:keepNext/>
      <w:keepLines/>
      <w:spacing w:before="480" w:after="120"/>
      <w:outlineLvl w:val="0"/>
    </w:pPr>
    <w:rPr>
      <w:b/>
      <w:sz w:val="48"/>
      <w:szCs w:val="48"/>
    </w:rPr>
  </w:style>
  <w:style w:type="paragraph" w:styleId="Heading2">
    <w:name w:val="heading 2"/>
    <w:basedOn w:val="Normal"/>
    <w:next w:val="Normal"/>
    <w:rsid w:val="00167681"/>
    <w:pPr>
      <w:keepNext/>
      <w:jc w:val="center"/>
      <w:outlineLvl w:val="1"/>
    </w:pPr>
    <w:rPr>
      <w:b/>
      <w:sz w:val="22"/>
      <w:szCs w:val="22"/>
    </w:rPr>
  </w:style>
  <w:style w:type="paragraph" w:styleId="Heading3">
    <w:name w:val="heading 3"/>
    <w:basedOn w:val="Normal"/>
    <w:next w:val="Normal"/>
    <w:rsid w:val="00167681"/>
    <w:pPr>
      <w:keepNext/>
      <w:keepLines/>
      <w:spacing w:before="280" w:after="80"/>
      <w:outlineLvl w:val="2"/>
    </w:pPr>
    <w:rPr>
      <w:b/>
      <w:sz w:val="28"/>
      <w:szCs w:val="28"/>
    </w:rPr>
  </w:style>
  <w:style w:type="paragraph" w:styleId="Heading4">
    <w:name w:val="heading 4"/>
    <w:basedOn w:val="Normal"/>
    <w:next w:val="Normal"/>
    <w:rsid w:val="00167681"/>
    <w:pPr>
      <w:keepNext/>
      <w:keepLines/>
      <w:spacing w:before="240" w:after="40"/>
      <w:outlineLvl w:val="3"/>
    </w:pPr>
    <w:rPr>
      <w:b/>
      <w:sz w:val="24"/>
      <w:szCs w:val="24"/>
    </w:rPr>
  </w:style>
  <w:style w:type="paragraph" w:styleId="Heading5">
    <w:name w:val="heading 5"/>
    <w:basedOn w:val="Normal"/>
    <w:next w:val="Normal"/>
    <w:rsid w:val="00167681"/>
    <w:pPr>
      <w:keepNext/>
      <w:keepLines/>
      <w:spacing w:before="220" w:after="40"/>
      <w:outlineLvl w:val="4"/>
    </w:pPr>
    <w:rPr>
      <w:b/>
      <w:sz w:val="22"/>
      <w:szCs w:val="22"/>
    </w:rPr>
  </w:style>
  <w:style w:type="paragraph" w:styleId="Heading6">
    <w:name w:val="heading 6"/>
    <w:basedOn w:val="Normal"/>
    <w:next w:val="Normal"/>
    <w:rsid w:val="0016768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67681"/>
    <w:pPr>
      <w:keepNext/>
      <w:keepLines/>
      <w:spacing w:before="480" w:after="120"/>
    </w:pPr>
    <w:rPr>
      <w:b/>
      <w:sz w:val="72"/>
      <w:szCs w:val="72"/>
    </w:rPr>
  </w:style>
  <w:style w:type="paragraph" w:styleId="Subtitle">
    <w:name w:val="Subtitle"/>
    <w:basedOn w:val="Normal"/>
    <w:next w:val="Normal"/>
    <w:rsid w:val="00167681"/>
    <w:pPr>
      <w:keepNext/>
      <w:keepLines/>
      <w:spacing w:before="360" w:after="80"/>
    </w:pPr>
    <w:rPr>
      <w:rFonts w:ascii="Georgia" w:eastAsia="Georgia" w:hAnsi="Georgia" w:cs="Georgia"/>
      <w:i/>
      <w:color w:val="666666"/>
      <w:sz w:val="48"/>
      <w:szCs w:val="48"/>
    </w:rPr>
  </w:style>
  <w:style w:type="table" w:customStyle="1" w:styleId="a">
    <w:basedOn w:val="TableNormal"/>
    <w:rsid w:val="00167681"/>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67681"/>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67681"/>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722"/>
    <w:rPr>
      <w:rFonts w:ascii="Tahoma" w:hAnsi="Tahoma" w:cs="Tahoma"/>
      <w:sz w:val="16"/>
      <w:szCs w:val="16"/>
    </w:rPr>
  </w:style>
  <w:style w:type="character" w:customStyle="1" w:styleId="BalloonTextChar">
    <w:name w:val="Balloon Text Char"/>
    <w:basedOn w:val="DefaultParagraphFont"/>
    <w:link w:val="BalloonText"/>
    <w:uiPriority w:val="99"/>
    <w:semiHidden/>
    <w:rsid w:val="00382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722"/>
    <w:rPr>
      <w:rFonts w:ascii="Tahoma" w:hAnsi="Tahoma" w:cs="Tahoma"/>
      <w:sz w:val="16"/>
      <w:szCs w:val="16"/>
    </w:rPr>
  </w:style>
  <w:style w:type="character" w:customStyle="1" w:styleId="BalloonTextChar">
    <w:name w:val="Balloon Text Char"/>
    <w:basedOn w:val="DefaultParagraphFont"/>
    <w:link w:val="BalloonText"/>
    <w:uiPriority w:val="99"/>
    <w:semiHidden/>
    <w:rsid w:val="00382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Morris</dc:creator>
  <cp:lastModifiedBy>Ingrid van Leeuwen</cp:lastModifiedBy>
  <cp:revision>2</cp:revision>
  <cp:lastPrinted>2018-01-18T21:44:00Z</cp:lastPrinted>
  <dcterms:created xsi:type="dcterms:W3CDTF">2018-01-18T21:45:00Z</dcterms:created>
  <dcterms:modified xsi:type="dcterms:W3CDTF">2018-01-18T21:45:00Z</dcterms:modified>
</cp:coreProperties>
</file>